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160"/>
      </w:pPr>
    </w:p>
    <w:p>
      <w:pPr>
        <w:spacing w:after="320"/>
        <w:jc w:val="center"/>
      </w:pPr>
      <w:r>
        <w:rPr>
          <w:rFonts w:ascii="Calibri" w:hAnsi="Calibri"/>
          <w:b/>
          <w:i w:val="0"/>
          <w:color w:val="2E74B5"/>
          <w:sz w:val="20"/>
        </w:rPr>
        <w:t>RECURSO DESCARGABLE</w:t>
      </w:r>
    </w:p>
    <w:p>
      <w:pPr>
        <w:spacing w:after="160"/>
        <w:jc w:val="center"/>
      </w:pPr>
      <w:r>
        <w:rPr>
          <w:rFonts w:ascii="Calibri" w:hAnsi="Calibri"/>
          <w:b/>
          <w:i w:val="0"/>
          <w:color w:val="1F4D78"/>
          <w:sz w:val="54"/>
        </w:rPr>
        <w:t>Guía de autoobservación de estilos de liderazgo</w:t>
      </w:r>
    </w:p>
    <w:p>
      <w:pPr>
        <w:spacing w:after="320"/>
        <w:jc w:val="center"/>
      </w:pPr>
      <w:r>
        <w:rPr>
          <w:rFonts w:ascii="Calibri" w:hAnsi="Calibri"/>
          <w:b w:val="0"/>
          <w:i w:val="0"/>
          <w:color w:val="2E74B5"/>
          <w:sz w:val="28"/>
        </w:rPr>
        <w:t>Modelos de Goleman y Lewin, sin puntajes ni etiquetas falsas</w:t>
      </w:r>
    </w:p>
    <w:p>
      <w:pPr>
        <w:spacing w:after="720"/>
        <w:ind w:left="648" w:right="648"/>
        <w:jc w:val="center"/>
      </w:pPr>
      <w:r>
        <w:rPr>
          <w:rFonts w:ascii="Calibri" w:hAnsi="Calibri"/>
          <w:b w:val="0"/>
          <w:i w:val="0"/>
          <w:color w:val="5C636A"/>
          <w:sz w:val="23"/>
        </w:rPr>
        <w:t>Una ficha práctica para registrar conductas, comparar contextos y conversar con el equipo. No reproduce el ESCI, el MLQ ni cuestionarios atribuidos sin trazabilidad a Daniel Goleman o Kurt Lewin.</w:t>
      </w:r>
    </w:p>
    <w:p>
      <w:pPr>
        <w:jc w:val="center"/>
      </w:pPr>
      <w:r>
        <w:rPr>
          <w:rFonts w:ascii="Calibri" w:hAnsi="Calibri"/>
          <w:b/>
          <w:i w:val="0"/>
          <w:color w:val="5C636A"/>
          <w:sz w:val="20"/>
        </w:rPr>
        <w:t>Versión 1.0 | 11 de agosto de 2026</w:t>
      </w:r>
    </w:p>
    <w:p>
      <w:r>
        <w:br w:type="page"/>
      </w:r>
    </w:p>
    <w:p>
      <w:pPr>
        <w:pStyle w:val="Heading1"/>
      </w:pPr>
      <w:r>
        <w:t>Antes de empezar</w:t>
      </w:r>
    </w:p>
    <w:p>
      <w:pPr>
        <w:spacing w:after="240" w:line="300" w:lineRule="auto"/>
        <w:ind w:left="216" w:right="216"/>
        <w:shd w:fill="FFF4CE"/>
      </w:pPr>
      <w:r>
        <w:rPr>
          <w:rFonts w:ascii="Calibri" w:hAnsi="Calibri"/>
          <w:b/>
          <w:i w:val="0"/>
          <w:color w:val="232C34"/>
          <w:sz w:val="22"/>
        </w:rPr>
        <w:t xml:space="preserve">Qué es este recurso: </w:t>
      </w:r>
      <w:r>
        <w:rPr>
          <w:rFonts w:ascii="Calibri" w:hAnsi="Calibri"/>
          <w:b w:val="0"/>
          <w:i w:val="0"/>
          <w:color w:val="232C34"/>
          <w:sz w:val="22"/>
        </w:rPr>
        <w:t>una guía cualitativa de autoobservación. No entrega un estilo dominante, una nota de liderazgo, un diagnóstico ni una decisión de selección de personal. Úsala para recoger ejemplos reales y acordar un cambio pequeño.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Los modelos de liderazgo describen patrones de conducta. Un mismo jefe puede dirigir con mucha estructura en una crisis, pedir participación para diseñar un proceso y usar coaching cuando desarrolla a una persona. La pregunta útil no es 'qué tipo soy para siempre', sino 'qué hice, en qué contexto y qué efecto tuvo'.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El marco de Lewin nació de experimentos sobre climas sociales autoritario, democrático y laissez-faire. Las fuentes consultadas no documentan un test creado por Lewin con ítems, fiabilidad o normas. En el caso de Goleman, su web oficial indica que el único instrumento que co-diseñó es el ESCI profesional. Esta guía no pretende sustituirlo.</w:t>
      </w:r>
    </w:p>
    <w:p>
      <w:pPr>
        <w:pStyle w:val="Heading2"/>
      </w:pPr>
      <w:r>
        <w:t>Cómo usar la ficha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Elige una situación laboral reciente, no una opinión general sobre tu personalidad.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Describe hechos observables: palabras, decisiones, tiempos, personas consultadas y seguimiento.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Registra el efecto que viste, incluso si contradice tu intención.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Pide a una persona del equipo un ejemplo distinto. La autoimagen y la experiencia del equipo pueden no coincidir.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Elige un cambio pequeño para probar durante dos semanas y revisa si mejora claridad, participación o apoyo.</w:t>
      </w:r>
    </w:p>
    <w:p>
      <w:pPr>
        <w:pStyle w:val="Heading1"/>
      </w:pPr>
      <w:r>
        <w:t>Dos mapas que no deben confundirse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100"/>
        <w:gridCol w:w="3600"/>
        <w:gridCol w:w="3660"/>
      </w:tblGrid>
      <w:tr>
        <w:tc>
          <w:tcPr>
            <w:tcW w:type="dxa" w:w="21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19"/>
              </w:rPr>
              <w:t>Marco</w:t>
            </w:r>
          </w:p>
        </w:tc>
        <w:tc>
          <w:tcPr>
            <w:tcW w:type="dxa" w:w="360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19"/>
              </w:rPr>
              <w:t>Qué organiza</w:t>
            </w:r>
          </w:p>
        </w:tc>
        <w:tc>
          <w:tcPr>
            <w:tcW w:type="dxa" w:w="3660"/>
            <w:shd w:fill="E8EEF5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1F4D78"/>
                <w:sz w:val="19"/>
              </w:rPr>
              <w:t>Cautela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Lewin, Lippitt y White</w:t>
            </w:r>
          </w:p>
        </w:tc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Climas autoritario, democrático y laissez-faire.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Tipología conductual original; no es un test laboral oficial.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Goleman</w:t>
            </w:r>
          </w:p>
        </w:tc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Seis estilos flexibles: mando, visionario, afiliativo, democrático, marcapasos y coaching.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El marco no convierte cuestionarios web en instrumentos oficiales.</w:t>
            </w:r>
          </w:p>
        </w:tc>
      </w:tr>
      <w:t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Instrumentos profesionales</w:t>
            </w:r>
          </w:p>
        </w:tc>
        <w:tc>
          <w:tcPr>
            <w:tcW w:type="dxa" w:w="3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MLQ, LPC, ESCI y otras medidas con manuales y usos definidos.</w:t>
            </w:r>
          </w:p>
        </w:tc>
        <w:tc>
          <w:tcPr>
            <w:tcW w:type="dxa" w:w="3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232C34"/>
                <w:sz w:val="18"/>
              </w:rPr>
              <w:t>No reproducir reactivos propietarios ni extrapolar sus normas.</w:t>
            </w:r>
          </w:p>
        </w:tc>
      </w:tr>
    </w:tbl>
    <w:p>
      <w:pPr>
        <w:pStyle w:val="Heading1"/>
      </w:pPr>
      <w:r>
        <w:t>Parte 1. Observa cómo distribuyes dirección y participación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Estas preguntas se inspiran en la diferencia entre estructura de tarea, consideración y participación. No sumes respuestas. Busca ejemplos que muestren cuándo centralizas, cuándo consultas y cuándo te retiras demasiado.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1. </w:t>
      </w:r>
      <w:r>
        <w:rPr>
          <w:rFonts w:ascii="Calibri" w:hAnsi="Calibri"/>
          <w:b/>
          <w:i w:val="0"/>
          <w:color w:val="232C34"/>
          <w:sz w:val="22"/>
        </w:rPr>
        <w:t>Cuando el tiempo era limitado, ¿qué decisión tomé por mi cuenta y qué expliqué al equipo?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2. </w:t>
      </w:r>
      <w:r>
        <w:rPr>
          <w:rFonts w:ascii="Calibri" w:hAnsi="Calibri"/>
          <w:b/>
          <w:i w:val="0"/>
          <w:color w:val="232C34"/>
          <w:sz w:val="22"/>
        </w:rPr>
        <w:t>¿Qué decisión reciente abrí a discusión antes de fijar el rumbo?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3. </w:t>
      </w:r>
      <w:r>
        <w:rPr>
          <w:rFonts w:ascii="Calibri" w:hAnsi="Calibri"/>
          <w:b/>
          <w:i w:val="0"/>
          <w:color w:val="232C34"/>
          <w:sz w:val="22"/>
        </w:rPr>
        <w:t>¿En qué tarea delegué con autoridad, información y un punto de seguimiento claro?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4. </w:t>
      </w:r>
      <w:r>
        <w:rPr>
          <w:rFonts w:ascii="Calibri" w:hAnsi="Calibri"/>
          <w:b/>
          <w:i w:val="0"/>
          <w:color w:val="232C34"/>
          <w:sz w:val="22"/>
        </w:rPr>
        <w:t>¿En qué momento confundí delegar con desaparecer o dejar una responsabilidad sin apoyo?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5. </w:t>
      </w:r>
      <w:r>
        <w:rPr>
          <w:rFonts w:ascii="Calibri" w:hAnsi="Calibri"/>
          <w:b/>
          <w:i w:val="0"/>
          <w:color w:val="232C34"/>
          <w:sz w:val="22"/>
        </w:rPr>
        <w:t>¿Cómo definí roles, prioridades y criterios de término sin controlar cada detalle?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6. </w:t>
      </w:r>
      <w:r>
        <w:rPr>
          <w:rFonts w:ascii="Calibri" w:hAnsi="Calibri"/>
          <w:b/>
          <w:i w:val="0"/>
          <w:color w:val="232C34"/>
          <w:sz w:val="22"/>
        </w:rPr>
        <w:t>¿Qué conflicto llevé a una conversación objetiva en vez de evitarlo o imponer silencio?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t>Parte 2. Revisa tu repertorio de seis estilos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Los seis estilos de Goleman son un repertorio situacional. Lee cada par de preguntas y anota una escena reciente. Que una conducta aparezca aquí no significa que tengas un 'tipo' fijo.</w:t>
      </w:r>
    </w:p>
    <w:p>
      <w:pPr>
        <w:pStyle w:val="Heading2"/>
      </w:pPr>
      <w:r>
        <w:t>Mando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1. </w:t>
      </w:r>
      <w:r>
        <w:rPr>
          <w:rFonts w:ascii="Calibri" w:hAnsi="Calibri"/>
          <w:b/>
          <w:i w:val="0"/>
          <w:color w:val="232C34"/>
          <w:sz w:val="22"/>
        </w:rPr>
        <w:t>¿Cuándo di una instrucción directa porque había una urgencia real?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2. </w:t>
      </w:r>
      <w:r>
        <w:rPr>
          <w:rFonts w:ascii="Calibri" w:hAnsi="Calibri"/>
          <w:b/>
          <w:i w:val="0"/>
          <w:color w:val="232C34"/>
          <w:sz w:val="22"/>
        </w:rPr>
        <w:t>¿Usé el tono de emergencia cuando había tiempo para explicar o consultar?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pStyle w:val="Heading2"/>
      </w:pPr>
      <w:r>
        <w:t>Visionario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3. </w:t>
      </w:r>
      <w:r>
        <w:rPr>
          <w:rFonts w:ascii="Calibri" w:hAnsi="Calibri"/>
          <w:b/>
          <w:i w:val="0"/>
          <w:color w:val="232C34"/>
          <w:sz w:val="22"/>
        </w:rPr>
        <w:t>¿Expliqué con claridad hacia dónde íbamos y por qué importaba?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4. </w:t>
      </w:r>
      <w:r>
        <w:rPr>
          <w:rFonts w:ascii="Calibri" w:hAnsi="Calibri"/>
          <w:b/>
          <w:i w:val="0"/>
          <w:color w:val="232C34"/>
          <w:sz w:val="22"/>
        </w:rPr>
        <w:t>¿Conecté una tarea concreta con un propósito que el equipo pudiera comprender?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pStyle w:val="Heading2"/>
      </w:pPr>
      <w:r>
        <w:t>Afiliativo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5. </w:t>
      </w:r>
      <w:r>
        <w:rPr>
          <w:rFonts w:ascii="Calibri" w:hAnsi="Calibri"/>
          <w:b/>
          <w:i w:val="0"/>
          <w:color w:val="232C34"/>
          <w:sz w:val="22"/>
        </w:rPr>
        <w:t>¿Qué hice para reparar confianza o cuidar el vínculo después de una tensión?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6. </w:t>
      </w:r>
      <w:r>
        <w:rPr>
          <w:rFonts w:ascii="Calibri" w:hAnsi="Calibri"/>
          <w:b/>
          <w:i w:val="0"/>
          <w:color w:val="232C34"/>
          <w:sz w:val="22"/>
        </w:rPr>
        <w:t>¿Evité una conversación difícil por preservar una armonía aparente?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pStyle w:val="Heading2"/>
      </w:pPr>
      <w:r>
        <w:t>Democrático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7. </w:t>
      </w:r>
      <w:r>
        <w:rPr>
          <w:rFonts w:ascii="Calibri" w:hAnsi="Calibri"/>
          <w:b/>
          <w:i w:val="0"/>
          <w:color w:val="232C34"/>
          <w:sz w:val="22"/>
        </w:rPr>
        <w:t>¿Qué decisión mejoró porque pedí perspectivas antes de resolver?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8. </w:t>
      </w:r>
      <w:r>
        <w:rPr>
          <w:rFonts w:ascii="Calibri" w:hAnsi="Calibri"/>
          <w:b/>
          <w:i w:val="0"/>
          <w:color w:val="232C34"/>
          <w:sz w:val="22"/>
        </w:rPr>
        <w:t>¿Consulté al equipo cuando la decisión ya estaba tomada?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pStyle w:val="Heading2"/>
      </w:pPr>
      <w:r>
        <w:t>Marcapasos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9. </w:t>
      </w:r>
      <w:r>
        <w:rPr>
          <w:rFonts w:ascii="Calibri" w:hAnsi="Calibri"/>
          <w:b/>
          <w:i w:val="0"/>
          <w:color w:val="232C34"/>
          <w:sz w:val="22"/>
        </w:rPr>
        <w:t>¿Qué estándar alto modelé con una expectativa y recursos claros?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10. </w:t>
      </w:r>
      <w:r>
        <w:rPr>
          <w:rFonts w:ascii="Calibri" w:hAnsi="Calibri"/>
          <w:b/>
          <w:i w:val="0"/>
          <w:color w:val="232C34"/>
          <w:sz w:val="22"/>
        </w:rPr>
        <w:t>¿Di por hecho que todos podían seguir mi ritmo sin apoyo ni prioridades?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pStyle w:val="Heading2"/>
      </w:pPr>
      <w:r>
        <w:t>Coaching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11. </w:t>
      </w:r>
      <w:r>
        <w:rPr>
          <w:rFonts w:ascii="Calibri" w:hAnsi="Calibri"/>
          <w:b/>
          <w:i w:val="0"/>
          <w:color w:val="232C34"/>
          <w:sz w:val="22"/>
        </w:rPr>
        <w:t>¿Qué pregunta ayudó a otra persona a pensar su propio siguiente paso?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keepNext/>
        <w:spacing w:before="100" w:after="60"/>
      </w:pPr>
      <w:r>
        <w:rPr>
          <w:rFonts w:ascii="Calibri" w:hAnsi="Calibri"/>
          <w:b/>
          <w:i w:val="0"/>
          <w:color w:val="1F4D78"/>
          <w:sz w:val="22"/>
        </w:rPr>
        <w:t xml:space="preserve">12. </w:t>
      </w:r>
      <w:r>
        <w:rPr>
          <w:rFonts w:ascii="Calibri" w:hAnsi="Calibri"/>
          <w:b/>
          <w:i w:val="0"/>
          <w:color w:val="232C34"/>
          <w:sz w:val="22"/>
        </w:rPr>
        <w:t>¿Acordé práctica, feedback y seguimiento para desarrollar una habilidad?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Situación concreta: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Qué hice o dije: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pPr>
        <w:spacing w:after="60"/>
        <w:ind w:left="259"/>
      </w:pPr>
      <w:r>
        <w:rPr>
          <w:rFonts w:ascii="Calibri" w:hAnsi="Calibri"/>
          <w:b/>
          <w:i w:val="0"/>
          <w:color w:val="5C636A"/>
          <w:sz w:val="19"/>
        </w:rPr>
        <w:t xml:space="preserve">Efecto que observé: </w:t>
      </w:r>
      <w:r>
        <w:rPr>
          <w:rFonts w:ascii="Calibri" w:hAnsi="Calibri"/>
          <w:b w:val="0"/>
          <w:i w:val="0"/>
          <w:color w:val="5C636A"/>
          <w:sz w:val="19"/>
        </w:rPr>
        <w:t>____________________________________________________________</w:t>
      </w:r>
    </w:p>
    <w:p>
      <w:r>
        <w:br w:type="page"/>
      </w:r>
    </w:p>
    <w:p>
      <w:pPr>
        <w:pStyle w:val="Heading1"/>
      </w:pPr>
      <w:r>
        <w:t>Parte 3. Contrasta tu intención con el efecto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La conducta del líder se interpreta dentro de una cultura, una tarea y una relación. Una instrucción clara no es necesariamente autoritarismo; una consulta no es necesariamente participación real; y la ausencia de control no siempre es autonomía.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¿El equipo entendió prioridades y límites, o sólo obedeció para evitar una reacción?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¿La participación cambió la decisión, o fue simbólica?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¿La autonomía vino acompañada de información, recursos y disponibilidad?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¿El feedback describió una conducta y una expectativa, o juzgó a la persona?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¿La presión que ejercí era necesaria para la tarea o terminó creando urgencia permanente?</w:t>
      </w:r>
    </w:p>
    <w:p>
      <w:pPr>
        <w:pStyle w:val="ListBullet"/>
        <w:spacing w:after="80" w:line="300" w:lineRule="auto"/>
        <w:ind w:left="540" w:hanging="271"/>
      </w:pPr>
      <w:r>
        <w:rPr>
          <w:rFonts w:ascii="Calibri" w:hAnsi="Calibri"/>
          <w:b w:val="0"/>
          <w:i w:val="0"/>
          <w:color w:val="232C34"/>
          <w:sz w:val="22"/>
        </w:rPr>
        <w:t>¿Mi conducta facilitó que alguien pidiera ayuda sin temor a quedar expuesto?</w:t>
      </w:r>
    </w:p>
    <w:p>
      <w:pPr>
        <w:pStyle w:val="Heading2"/>
      </w:pPr>
      <w:r>
        <w:t>Lectura de tus respuestas, sin puntaje</w:t>
      </w:r>
    </w:p>
    <w:p>
      <w:pPr>
        <w:spacing w:after="200"/>
        <w:shd w:fill="F4F6F9"/>
      </w:pPr>
      <w:r>
        <w:rPr>
          <w:rFonts w:ascii="Calibri" w:hAnsi="Calibri"/>
          <w:b/>
          <w:i w:val="0"/>
          <w:color w:val="1F4D78"/>
          <w:sz w:val="22"/>
        </w:rPr>
        <w:t xml:space="preserve">Busca patrones, no ganadores. </w:t>
      </w:r>
      <w:r>
        <w:rPr>
          <w:rFonts w:ascii="Calibri" w:hAnsi="Calibri"/>
          <w:b w:val="0"/>
          <w:i w:val="0"/>
          <w:color w:val="232C34"/>
          <w:sz w:val="22"/>
        </w:rPr>
        <w:t>Si aparecen muchas escenas de centralización, revisa si responden a crisis reales o a una preferencia por controlar. Si abundan las consultas, comprueba si realmente influyen. Si aparecen vacíos de seguimiento, revisa si llamaste autonomía a una retirada.</w:t>
      </w:r>
    </w:p>
    <w:p>
      <w:pPr>
        <w:pStyle w:val="Heading1"/>
      </w:pPr>
      <w:r>
        <w:t>Plan de experimento de dos semanas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2"/>
        </w:rPr>
        <w:t xml:space="preserve">Conducta que quiero probar: </w:t>
      </w:r>
      <w:r>
        <w:rPr>
          <w:rFonts w:ascii="Calibri" w:hAnsi="Calibri"/>
          <w:b w:val="0"/>
          <w:i w:val="0"/>
          <w:color w:val="5C636A"/>
          <w:sz w:val="22"/>
        </w:rPr>
        <w:t>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2"/>
        </w:rPr>
        <w:t xml:space="preserve">Situación en que la aplicaré: </w:t>
      </w:r>
      <w:r>
        <w:rPr>
          <w:rFonts w:ascii="Calibri" w:hAnsi="Calibri"/>
          <w:b w:val="0"/>
          <w:i w:val="0"/>
          <w:color w:val="5C636A"/>
          <w:sz w:val="22"/>
        </w:rPr>
        <w:t>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2"/>
        </w:rPr>
        <w:t xml:space="preserve">Persona que puede darme feedback: </w:t>
      </w:r>
      <w:r>
        <w:rPr>
          <w:rFonts w:ascii="Calibri" w:hAnsi="Calibri"/>
          <w:b w:val="0"/>
          <w:i w:val="0"/>
          <w:color w:val="5C636A"/>
          <w:sz w:val="22"/>
        </w:rPr>
        <w:t>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2"/>
        </w:rPr>
        <w:t xml:space="preserve">Señal observable de mejora: </w:t>
      </w:r>
      <w:r>
        <w:rPr>
          <w:rFonts w:ascii="Calibri" w:hAnsi="Calibri"/>
          <w:b w:val="0"/>
          <w:i w:val="0"/>
          <w:color w:val="5C636A"/>
          <w:sz w:val="22"/>
        </w:rPr>
        <w:t>________________________________________________________</w:t>
      </w:r>
    </w:p>
    <w:p>
      <w:pPr>
        <w:spacing w:after="160"/>
      </w:pPr>
      <w:r>
        <w:rPr>
          <w:rFonts w:ascii="Calibri" w:hAnsi="Calibri"/>
          <w:b/>
          <w:i w:val="0"/>
          <w:color w:val="1F4D78"/>
          <w:sz w:val="22"/>
        </w:rPr>
        <w:t xml:space="preserve">Fecha de revisión: </w:t>
      </w:r>
      <w:r>
        <w:rPr>
          <w:rFonts w:ascii="Calibri" w:hAnsi="Calibri"/>
          <w:b w:val="0"/>
          <w:i w:val="0"/>
          <w:color w:val="5C636A"/>
          <w:sz w:val="22"/>
        </w:rPr>
        <w:t>________________________________________________________</w:t>
      </w:r>
    </w:p>
    <w:p>
      <w:pPr>
        <w:pStyle w:val="Heading1"/>
      </w:pPr>
      <w:r>
        <w:t>Cuándo conviene una evaluación profesional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Una guía cualitativa sirve para desarrollo personal y conversaciones de equipo. Para selección, promoción, evaluación 360, investigación o decisiones laborales, utiliza instrumentos con manual, licencia y población de referencia, administrados por personas capacitadas. El ESCI, el MLQ y el LPC responden preguntas distintas y no son sustitutos intercambiables.</w:t>
      </w:r>
    </w:p>
    <w:p>
      <w:pPr>
        <w:spacing w:before="0" w:after="120" w:line="300" w:lineRule="auto"/>
      </w:pPr>
      <w:r>
        <w:rPr>
          <w:rFonts w:ascii="Calibri" w:hAnsi="Calibri"/>
          <w:b w:val="0"/>
          <w:i w:val="0"/>
          <w:color w:val="232C34"/>
          <w:sz w:val="22"/>
        </w:rPr>
        <w:t>Si la preocupación principal es la salud mental o los riesgos psicosociales del trabajo, en Chile el CEAL-SM/SUSESO evalúa condiciones organizacionales, incluida la calidad del liderazgo. No diagnostica a un jefe ni entrega un 'tipo de líder'.</w:t>
      </w:r>
    </w:p>
    <w:p>
      <w:pPr>
        <w:pStyle w:val="Heading1"/>
      </w:pPr>
      <w:r>
        <w:t>Referencias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Arnold, J., Randall, R., Patterson, F., Silvester, J., Robertson, I., Cooper, C., et al. (2012). Psicología del trabajo: Comportamiento humano en el ámbito laboral (5.ª ed.). Pearson Educación.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Chiavenato, I. (2022). Comportamiento organizacional: La dinámica del éxito en las organizaciones (4.ª ed.). McGraw-Hill Interamericana.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Goleman, D. (2000). Leadership that gets results. Harvard Business Review, 78(2), 78-90.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Hult, M., Terkamo-Moisio, A., Kaakinen, P., et al. (2023). Relationships between nursing leadership and organizational, staff and patient outcomes: A systematic review of reviews. Nursing Open, 10, 5920-5936. https://doi.org/10.1002/nop2.1876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Lewin, K., Lippitt, R., &amp; White, R. K. (1939). Patterns of aggressive behavior in experimentally created social climates. The Journal of Social Psychology, 10(2), 269-299. https://doi.org/10.1080/00224545.1939.9713366</w:t>
      </w:r>
    </w:p>
    <w:p>
      <w:pPr>
        <w:spacing w:after="100"/>
        <w:ind w:left="360" w:hanging="360"/>
      </w:pPr>
      <w:r>
        <w:rPr>
          <w:rFonts w:ascii="Calibri" w:hAnsi="Calibri"/>
          <w:b w:val="0"/>
          <w:i w:val="0"/>
          <w:color w:val="232C34"/>
          <w:sz w:val="19"/>
        </w:rPr>
        <w:t>Superintendencia de Seguridad Social. (2023). Manual del método Cuestionario CEAL-SM/SUSESO (2.ª ed.). Gobierno de Chile.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C636A"/>
        <w:sz w:val="17"/>
      </w:rPr>
      <w:t>Uso educativo. No es un test psicométrico ni una evaluación laboral.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5C636A"/>
        <w:sz w:val="17"/>
      </w:rPr>
      <w:t>TERAPIA ONLINE CHILE | GUÍA DE AUTOOBSERVACIÓN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autoobservación de estilos de liderazgo: Goleman y Lewin</dc:title>
  <dc:subject>Ficha cualitativa sin puntajes para desarrollo de liderazgo</dc:subject>
  <dc:creator>Terapia Online Chile</dc:creator>
  <cp:keywords>liderazgo, Goleman, Lewin, autoobservación, guía, equipos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